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消息队列"/>
      <w:bookmarkEnd w:id="21"/>
      <w:r>
        <w:t xml:space="preserve">消息队列</w:t>
      </w:r>
    </w:p>
    <w:p>
      <w:pPr>
        <w:pStyle w:val="Compact"/>
        <w:numPr>
          <w:numId w:val="1001"/>
          <w:ilvl w:val="0"/>
        </w:numPr>
      </w:pPr>
      <w:hyperlink w:anchor="消息队列">
        <w:r>
          <w:rPr>
            <w:rStyle w:val="Hyperlink"/>
          </w:rPr>
          <w:t xml:space="preserve">消息队列</w:t>
        </w:r>
      </w:hyperlink>
    </w:p>
    <w:p>
      <w:pPr>
        <w:pStyle w:val="Compact"/>
        <w:numPr>
          <w:numId w:val="1002"/>
          <w:ilvl w:val="1"/>
        </w:numPr>
      </w:pPr>
      <w:hyperlink w:anchor="一消息模型">
        <w:r>
          <w:rPr>
            <w:rStyle w:val="Hyperlink"/>
          </w:rPr>
          <w:t xml:space="preserve">一、消息模型</w:t>
        </w:r>
      </w:hyperlink>
    </w:p>
    <w:p>
      <w:pPr>
        <w:pStyle w:val="Compact"/>
        <w:numPr>
          <w:numId w:val="1003"/>
          <w:ilvl w:val="2"/>
        </w:numPr>
      </w:pPr>
      <w:hyperlink w:anchor="点对点">
        <w:r>
          <w:rPr>
            <w:rStyle w:val="Hyperlink"/>
          </w:rPr>
          <w:t xml:space="preserve">点对点</w:t>
        </w:r>
      </w:hyperlink>
    </w:p>
    <w:p>
      <w:pPr>
        <w:pStyle w:val="Compact"/>
        <w:numPr>
          <w:numId w:val="1003"/>
          <w:ilvl w:val="2"/>
        </w:numPr>
      </w:pPr>
      <w:hyperlink w:anchor="发布订阅">
        <w:r>
          <w:rPr>
            <w:rStyle w:val="Hyperlink"/>
          </w:rPr>
          <w:t xml:space="preserve">发布/订阅</w:t>
        </w:r>
      </w:hyperlink>
    </w:p>
    <w:p>
      <w:pPr>
        <w:pStyle w:val="Compact"/>
        <w:numPr>
          <w:numId w:val="1002"/>
          <w:ilvl w:val="1"/>
        </w:numPr>
      </w:pPr>
      <w:hyperlink w:anchor="二使用场景">
        <w:r>
          <w:rPr>
            <w:rStyle w:val="Hyperlink"/>
          </w:rPr>
          <w:t xml:space="preserve">二、使用场景</w:t>
        </w:r>
      </w:hyperlink>
    </w:p>
    <w:p>
      <w:pPr>
        <w:pStyle w:val="Compact"/>
        <w:numPr>
          <w:numId w:val="1004"/>
          <w:ilvl w:val="2"/>
        </w:numPr>
      </w:pPr>
      <w:hyperlink w:anchor="异步处理">
        <w:r>
          <w:rPr>
            <w:rStyle w:val="Hyperlink"/>
          </w:rPr>
          <w:t xml:space="preserve">异步处理</w:t>
        </w:r>
      </w:hyperlink>
    </w:p>
    <w:p>
      <w:pPr>
        <w:pStyle w:val="Compact"/>
        <w:numPr>
          <w:numId w:val="1004"/>
          <w:ilvl w:val="2"/>
        </w:numPr>
      </w:pPr>
      <w:hyperlink w:anchor="流量削锋">
        <w:r>
          <w:rPr>
            <w:rStyle w:val="Hyperlink"/>
          </w:rPr>
          <w:t xml:space="preserve">流量削锋</w:t>
        </w:r>
      </w:hyperlink>
    </w:p>
    <w:p>
      <w:pPr>
        <w:pStyle w:val="Compact"/>
        <w:numPr>
          <w:numId w:val="1004"/>
          <w:ilvl w:val="2"/>
        </w:numPr>
      </w:pPr>
      <w:hyperlink w:anchor="应用解耦">
        <w:r>
          <w:rPr>
            <w:rStyle w:val="Hyperlink"/>
          </w:rPr>
          <w:t xml:space="preserve">应用解耦</w:t>
        </w:r>
      </w:hyperlink>
    </w:p>
    <w:p>
      <w:pPr>
        <w:pStyle w:val="Compact"/>
        <w:numPr>
          <w:numId w:val="1002"/>
          <w:ilvl w:val="1"/>
        </w:numPr>
      </w:pPr>
      <w:hyperlink w:anchor="三可靠性">
        <w:r>
          <w:rPr>
            <w:rStyle w:val="Hyperlink"/>
          </w:rPr>
          <w:t xml:space="preserve">三、可靠性</w:t>
        </w:r>
      </w:hyperlink>
    </w:p>
    <w:p>
      <w:pPr>
        <w:pStyle w:val="Compact"/>
        <w:numPr>
          <w:numId w:val="1005"/>
          <w:ilvl w:val="2"/>
        </w:numPr>
      </w:pPr>
      <w:hyperlink w:anchor="发送端的可靠性">
        <w:r>
          <w:rPr>
            <w:rStyle w:val="Hyperlink"/>
          </w:rPr>
          <w:t xml:space="preserve">发送端的可靠性</w:t>
        </w:r>
      </w:hyperlink>
    </w:p>
    <w:p>
      <w:pPr>
        <w:pStyle w:val="Compact"/>
        <w:numPr>
          <w:numId w:val="1005"/>
          <w:ilvl w:val="2"/>
        </w:numPr>
      </w:pPr>
      <w:hyperlink w:anchor="接收端的可靠性">
        <w:r>
          <w:rPr>
            <w:rStyle w:val="Hyperlink"/>
          </w:rPr>
          <w:t xml:space="preserve">接收端的可靠性</w:t>
        </w:r>
      </w:hyperlink>
    </w:p>
    <w:p>
      <w:pPr>
        <w:pStyle w:val="Compact"/>
        <w:numPr>
          <w:numId w:val="1002"/>
          <w:ilvl w:val="1"/>
        </w:numPr>
      </w:pPr>
      <w:hyperlink w:anchor="参考资料">
        <w:r>
          <w:rPr>
            <w:rStyle w:val="Hyperlink"/>
          </w:rPr>
          <w:t xml:space="preserve">参考资料</w:t>
        </w:r>
      </w:hyperlink>
      <w:r>
        <w:t xml:space="preserve"> </w:t>
      </w:r>
    </w:p>
    <w:p>
      <w:pPr>
        <w:pStyle w:val="Heading2"/>
      </w:pPr>
      <w:bookmarkStart w:id="22" w:name="一消息模型"/>
      <w:bookmarkEnd w:id="22"/>
      <w:r>
        <w:t xml:space="preserve">一、消息模型</w:t>
      </w:r>
    </w:p>
    <w:p>
      <w:pPr>
        <w:pStyle w:val="Heading3"/>
      </w:pPr>
      <w:bookmarkStart w:id="23" w:name="点对点"/>
      <w:bookmarkEnd w:id="23"/>
      <w:r>
        <w:t xml:space="preserve">点对点</w:t>
      </w:r>
    </w:p>
    <w:p>
      <w:pPr>
        <w:pStyle w:val="FirstParagraph"/>
      </w:pPr>
      <w:r>
        <w:t xml:space="preserve">消息生产者向消息队列中发送了一个消息之后，只能被一个消费者消费一次。</w:t>
      </w:r>
    </w:p>
    <w:p>
      <w:pPr>
        <w:pStyle w:val="Compact"/>
      </w:pPr>
    </w:p>
    <w:p>
      <w:pPr>
        <w:pStyle w:val="BodyText"/>
      </w:pPr>
    </w:p>
    <w:p>
      <w:pPr>
        <w:pStyle w:val="Heading3"/>
      </w:pPr>
      <w:bookmarkStart w:id="24" w:name="发布订阅"/>
      <w:bookmarkEnd w:id="24"/>
      <w:r>
        <w:t xml:space="preserve">发布/订阅</w:t>
      </w:r>
    </w:p>
    <w:p>
      <w:pPr>
        <w:pStyle w:val="FirstParagraph"/>
      </w:pPr>
      <w:r>
        <w:t xml:space="preserve">消息生产者向频道发送一个消息之后，多个消费者可以从该频道订阅到这条消息并消费。</w:t>
      </w:r>
    </w:p>
    <w:p>
      <w:pPr>
        <w:pStyle w:val="Compact"/>
      </w:pPr>
    </w:p>
    <w:p>
      <w:pPr>
        <w:pStyle w:val="BodyText"/>
      </w:pPr>
    </w:p>
    <w:p>
      <w:pPr>
        <w:pStyle w:val="BodyText"/>
      </w:pPr>
      <w:r>
        <w:t xml:space="preserve">发布与订阅模式和观察者模式有以下不同：</w:t>
      </w:r>
    </w:p>
    <w:p>
      <w:pPr>
        <w:pStyle w:val="Compact"/>
        <w:numPr>
          <w:numId w:val="1006"/>
          <w:ilvl w:val="0"/>
        </w:numPr>
      </w:pPr>
      <w:r>
        <w:t xml:space="preserve">观察者模式中，观察者和主题都知道对方的存在；而在发布与订阅模式中，生产者与消费者不知道对方的存在，它们之间通过频道进行通信。</w:t>
      </w:r>
    </w:p>
    <w:p>
      <w:pPr>
        <w:pStyle w:val="Compact"/>
        <w:numPr>
          <w:numId w:val="1006"/>
          <w:ilvl w:val="0"/>
        </w:numPr>
      </w:pPr>
      <w:r>
        <w:t xml:space="preserve">观察者模式是同步的，当事件触发时，主题会调用观察者的方法，然后等待方法返回；而发布与订阅模式是异步的，生产者向频道发送一个消息之后，就不需要关心消费者何时去订阅这个消息，可以立即返回。</w:t>
      </w:r>
    </w:p>
    <w:p>
      <w:pPr>
        <w:pStyle w:val="Compact"/>
      </w:pPr>
    </w:p>
    <w:p>
      <w:pPr>
        <w:pStyle w:val="BodyText"/>
      </w:pPr>
    </w:p>
    <w:p>
      <w:pPr>
        <w:pStyle w:val="Heading2"/>
      </w:pPr>
      <w:bookmarkStart w:id="25" w:name="二使用场景"/>
      <w:bookmarkEnd w:id="25"/>
      <w:r>
        <w:t xml:space="preserve">二、使用场景</w:t>
      </w:r>
    </w:p>
    <w:p>
      <w:pPr>
        <w:pStyle w:val="Heading3"/>
      </w:pPr>
      <w:bookmarkStart w:id="26" w:name="异步处理"/>
      <w:bookmarkEnd w:id="26"/>
      <w:r>
        <w:t xml:space="preserve">异步处理</w:t>
      </w:r>
    </w:p>
    <w:p>
      <w:pPr>
        <w:pStyle w:val="FirstParagraph"/>
      </w:pPr>
      <w:r>
        <w:t xml:space="preserve">发送者将消息发送给消息队列之后，不需要同步等待消息接收者处理完毕，而是立即返回进行其它操作。消息接收者从消息队列中订阅消息之后异步处理。</w:t>
      </w:r>
    </w:p>
    <w:p>
      <w:pPr>
        <w:pStyle w:val="BodyText"/>
      </w:pPr>
      <w:r>
        <w:t xml:space="preserve">例如在注册流程中通常需要发送验证邮件来确保注册用户身份的合法性，可以使用消息队列使发送验证邮件的操作异步处理，用户在填写完注册信息之后就可以完成注册，而将发送验证邮件这一消息发送到消息队列中。</w:t>
      </w:r>
    </w:p>
    <w:p>
      <w:pPr>
        <w:pStyle w:val="BodyText"/>
      </w:pPr>
      <w:r>
        <w:t xml:space="preserve">只有在业务流程允许异步处理的情况下才能这么做，例如上面的注册流程中，如果要求用户对验证邮件进行点击之后才能完成注册的话，就不能再使用消息队列。</w:t>
      </w:r>
    </w:p>
    <w:p>
      <w:pPr>
        <w:pStyle w:val="Heading3"/>
      </w:pPr>
      <w:bookmarkStart w:id="27" w:name="流量削锋"/>
      <w:bookmarkEnd w:id="27"/>
      <w:r>
        <w:t xml:space="preserve">流量削锋</w:t>
      </w:r>
    </w:p>
    <w:p>
      <w:pPr>
        <w:pStyle w:val="FirstParagraph"/>
      </w:pPr>
      <w:r>
        <w:t xml:space="preserve">在高并发的场景下，如果短时间有大量的请求到达会压垮服务器。</w:t>
      </w:r>
    </w:p>
    <w:p>
      <w:pPr>
        <w:pStyle w:val="BodyText"/>
      </w:pPr>
      <w:r>
        <w:t xml:space="preserve">可以将请求发送到消息队列中，服务器按照其处理能力从消息队列中订阅消息进行处理。</w:t>
      </w:r>
    </w:p>
    <w:p>
      <w:pPr>
        <w:pStyle w:val="Heading3"/>
      </w:pPr>
      <w:bookmarkStart w:id="28" w:name="应用解耦"/>
      <w:bookmarkEnd w:id="28"/>
      <w:r>
        <w:t xml:space="preserve">应用解耦</w:t>
      </w:r>
    </w:p>
    <w:p>
      <w:pPr>
        <w:pStyle w:val="FirstParagraph"/>
      </w:pPr>
      <w:r>
        <w:t xml:space="preserve">如果模块之间不直接进行调用，模块之间耦合度就会很低，那么修改一个模块或者新增一个模块对其它模块的影响会很小，从而实现可扩展性。</w:t>
      </w:r>
    </w:p>
    <w:p>
      <w:pPr>
        <w:pStyle w:val="BodyText"/>
      </w:pPr>
      <w:r>
        <w:t xml:space="preserve">通过使用消息队列，一个模块只需要向消息队列中发送消息，其它模块可以选择性地从消息队列中订阅消息从而完成调用。</w:t>
      </w:r>
    </w:p>
    <w:p>
      <w:pPr>
        <w:pStyle w:val="Heading2"/>
      </w:pPr>
      <w:bookmarkStart w:id="29" w:name="三可靠性"/>
      <w:bookmarkEnd w:id="29"/>
      <w:r>
        <w:t xml:space="preserve">三、可靠性</w:t>
      </w:r>
    </w:p>
    <w:p>
      <w:pPr>
        <w:pStyle w:val="Heading3"/>
      </w:pPr>
      <w:bookmarkStart w:id="30" w:name="发送端的可靠性"/>
      <w:bookmarkEnd w:id="30"/>
      <w:r>
        <w:t xml:space="preserve">发送端的可靠性</w:t>
      </w:r>
    </w:p>
    <w:p>
      <w:pPr>
        <w:pStyle w:val="FirstParagraph"/>
      </w:pPr>
      <w:r>
        <w:t xml:space="preserve">发送端完成操作后一定能将消息成功发送到消息队列中。</w:t>
      </w:r>
    </w:p>
    <w:p>
      <w:pPr>
        <w:pStyle w:val="BodyText"/>
      </w:pPr>
      <w:r>
        <w:t xml:space="preserve">实现方法：在本地数据库建一张消息表，将消息数据与业务数据保存在同一数据库实例里，这样就可以利用本地数据库的事务机制。事务提交成功后，将消息表中的消息转移到消息队列中，若转移消息成功则删除消息表中的数据，否则继续重传。</w:t>
      </w:r>
    </w:p>
    <w:p>
      <w:pPr>
        <w:pStyle w:val="Heading3"/>
      </w:pPr>
      <w:bookmarkStart w:id="31" w:name="接收端的可靠性"/>
      <w:bookmarkEnd w:id="31"/>
      <w:r>
        <w:t xml:space="preserve">接收端的可靠性</w:t>
      </w:r>
    </w:p>
    <w:p>
      <w:pPr>
        <w:pStyle w:val="FirstParagraph"/>
      </w:pPr>
      <w:r>
        <w:t xml:space="preserve">接收端能够从消息队列成功消费一次消息。</w:t>
      </w:r>
    </w:p>
    <w:p>
      <w:pPr>
        <w:pStyle w:val="BodyText"/>
      </w:pPr>
      <w:r>
        <w:t xml:space="preserve">两种实现方法：</w:t>
      </w:r>
    </w:p>
    <w:p>
      <w:pPr>
        <w:pStyle w:val="Compact"/>
        <w:numPr>
          <w:numId w:val="1007"/>
          <w:ilvl w:val="0"/>
        </w:numPr>
      </w:pPr>
      <w:r>
        <w:t xml:space="preserve">保证接收端处理消息的业务逻辑具有幂等性：只要具有幂等性，那么消费多少次消息，最后处理的结果都是一样的。</w:t>
      </w:r>
    </w:p>
    <w:p>
      <w:pPr>
        <w:pStyle w:val="Compact"/>
        <w:numPr>
          <w:numId w:val="1007"/>
          <w:ilvl w:val="0"/>
        </w:numPr>
      </w:pPr>
      <w:r>
        <w:t xml:space="preserve">保证消息具有唯一编号，并使用一张日志表来记录已经消费的消息编号。</w:t>
      </w:r>
    </w:p>
    <w:p>
      <w:pPr>
        <w:pStyle w:val="Heading2"/>
      </w:pPr>
      <w:bookmarkStart w:id="32" w:name="参考资料"/>
      <w:bookmarkEnd w:id="32"/>
      <w:r>
        <w:t xml:space="preserve">参考资料</w:t>
      </w:r>
    </w:p>
    <w:p>
      <w:pPr>
        <w:pStyle w:val="Compact"/>
        <w:numPr>
          <w:numId w:val="1008"/>
          <w:ilvl w:val="0"/>
        </w:numPr>
      </w:pPr>
      <w:hyperlink r:id="rId33">
        <w:r>
          <w:rPr>
            <w:rStyle w:val="Hyperlink"/>
          </w:rPr>
          <w:t xml:space="preserve">Observer vs Pub-Sub</w:t>
        </w:r>
      </w:hyperlink>
    </w:p>
    <w:p>
      <w:pPr>
        <w:pStyle w:val="Compact"/>
        <w:numPr>
          <w:numId w:val="1008"/>
          <w:ilvl w:val="0"/>
        </w:numPr>
      </w:pPr>
      <w:hyperlink r:id="rId34">
        <w:r>
          <w:rPr>
            <w:rStyle w:val="Hyperlink"/>
          </w:rPr>
          <w:t xml:space="preserve">消息队列中点对点与发布订阅区别</w:t>
        </w:r>
      </w:hyperlink>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ebb6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4904ba6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3" Target="http://developers-club.com/posts/270339/" TargetMode="External" /><Relationship Type="http://schemas.openxmlformats.org/officeDocument/2006/relationships/hyperlink" Id="rId34" Target="https://blog.csdn.net/lizhitao/article/details/47723105" TargetMode="External" /></Relationships>
</file>

<file path=word/_rels/footnotes.xml.rels><?xml version="1.0" encoding="UTF-8"?>
<Relationships xmlns="http://schemas.openxmlformats.org/package/2006/relationships"><Relationship Type="http://schemas.openxmlformats.org/officeDocument/2006/relationships/hyperlink" Id="rId33" Target="http://developers-club.com/posts/270339/" TargetMode="External" /><Relationship Type="http://schemas.openxmlformats.org/officeDocument/2006/relationships/hyperlink" Id="rId34" Target="https://blog.csdn.net/lizhitao/article/details/4772310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2022-06-04T04:14:51Z</dcterms:created>
  <dcterms:modified xsi:type="dcterms:W3CDTF">2022-06-04T04:14:51Z</dcterms:modified>
</cp:coreProperties>
</file>