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deal with ... 处理、应对...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impolite=ill-mannered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well-educated 受过良好教育的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show good manners 表现好的礼貌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rude 粗鲁的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around me 在我周围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as far away from them as possible 离他们越远越好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close to ... 离...很近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nothing I can do about it 我什么都做不了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tough 困难的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B2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2017-08-12T02:19:48Z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