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downtime 在某人不工作、不学习的时候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certainly 当然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for leisure/enjoyment/fun 为了娱乐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mahjong 麻将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primarily 首要地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purpose 目的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bond with sb 与某人增强关系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necessarily 必然地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2019-10-29T02:22:20Z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