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tons of=a ton of 很多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live under the same roof 生活在一起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elderly people=old people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generally 通常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live through sth 经历...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life experience 人生经验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go through sth 经历...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failure n. 失败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breakup n. 分手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turn to sb 向某人（寻求帮助）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great deal 大量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as for ... 至于... 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energetic 精力充沛的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tend to 通常、往往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engage in sth 参与...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physical activity 体育活动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benefit v. 获益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as well 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more likely to do sth 更有可能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2020-01-27T04:14:20Z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