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堆"/>
      <w:bookmarkEnd w:id="21"/>
      <w:r>
        <w:t xml:space="preserve">3.4 堆</w:t>
      </w:r>
    </w:p>
    <w:p>
      <w:pPr>
        <w:pStyle w:val="Compact"/>
        <w:numPr>
          <w:numId w:val="1001"/>
          <w:ilvl w:val="0"/>
        </w:numPr>
      </w:pPr>
      <w:r>
        <w:t xml:space="preserve">1.如何理解堆？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46db87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55c085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cnblogs.com/ysocean/p/8032660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cnblogs.com/ysocean/p/8032660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